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淄博市水利与渔业局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2017年政府信息公开工作报告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，我局认真贯彻落实《中华人民共和国政府信息公开条例》和《淄博市人民政府办公厅关于印发2017年淄博市政务公开工作要点的通知》等有关要求，以打造服务型政府为目标，通过制定工作方案、完善组织机构、细化工作责任等方式，积极、稳妥推进政府信息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（一）进步一健全工作机制。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根据人事变动，及时调整政务公开领导小组成员，进一步明确各科室工作职责，细化人员责任。二是成立了督察组，定期督查通报政务工作，确保政府信息公开工作取得实效。三是健全工作制度，明确保密、舆情、政务信息等审核人员责任，确保信息流转畅通。四是加强业务培训，召开了全市水利系统综合政务培训班，培训人员90余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（二）加强平台建设。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以淄博市政府网改版迁移为契机，进一步优化了淄博水利网栏目设置，重点加强了社会关注点高、与民生关切的政策法规、工作动态等栏目内容，及时更新我局负责的供水水质、河长制两个重点保障栏目，网站更加简洁、查询更加方便。二是加强“两微”平台发布工作，全年共发布各类政务、民生信息共248条，关注人数较2016年增加150%。由局属单位运维的“淄博水政”“淄博市自来水”公众号关注度提升明显。三是加强与传统媒体合作，在中国水利报、淄博日报、新闻网站等媒体发布民生关切的河长制、生态水系规划、水利公益宣传等专题报道，全年共在报刊、杂志、网络媒体发稿75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（三）加强政民互动。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利用新闻发布会、政风行风热线等形式及时发布我市水利重大工作动向，并及时回应社会关切。全年召开新闻发布会4次，上线政风行风热线3次，跟踪解决了55项民生投诉办件。三是设置专人负责受理网上咨询、微博微信留言、电话咨询、局长信箱等办件，全年共处理各类办件260余件，群众反映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二、重点工作推进情况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（一）推进行政权力清单公开。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淄博水利网链接公开发布了行政许可保留的4类行政许可事项、147项权利事项、13条公共服务事项，并在在线服务栏目公开本级承担的行政审批事项目录。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（二）推进水质情况信息公开。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水质信息通报制度，每月发布市自来水公司出厂水、管网水及5处管网末梢水质的检测结果，每季度发布全市13家城市集中式生活饮用水供水企业出厂水、管网水监测结果，并将监测结果发布在市政府网站公示。全年共发布水质检测信息13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（三）推进河长制工作公开。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通过门户网站公示河长信息，定期发布河长制工作进展情况并及时通报河长巡查结果，共发布信息4条。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三、主动公开信息情况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2017年，淄博水利网站“政务”、“新闻”、“服务”等栏目主动公开政府信息313条，其中，政策法规类信息5条，业务类信息123条，工作动态类185条。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四、依申请公开信息情况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本年度收到依申请公开办件2件，全部按规范受理并及时答复，其中，1件属可予公开，向申请人提供了所需信息；1件不属于本机关公开信息，告知申请人获取信息的途径。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2017年市水利与渔业局没有对依申请公开政府信息收取费用。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六、申请</w:t>
      </w: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行政</w:t>
      </w:r>
      <w:bookmarkEnd w:id="0"/>
      <w:r>
        <w:rPr>
          <w:rFonts w:hint="eastAsia" w:ascii="黑体" w:hAnsi="黑体" w:eastAsia="黑体" w:cs="黑体"/>
          <w:sz w:val="32"/>
          <w:szCs w:val="32"/>
        </w:rPr>
        <w:t>复议和提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起</w:t>
      </w:r>
      <w:r>
        <w:rPr>
          <w:rFonts w:hint="eastAsia" w:ascii="黑体" w:hAnsi="黑体" w:eastAsia="黑体" w:cs="黑体"/>
          <w:sz w:val="32"/>
          <w:szCs w:val="32"/>
        </w:rPr>
        <w:t>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2017年，我局没有收到因政府信息公开行为提起的行政诉讼或行政复议案件。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七、存在问题及下一步工作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政府信息公开工作主要存在信息制发过程不够规范、处理互动类信息时效性不高等问题。2018年，我们将继续加大主动公开力度，按照“以公开为常态，不公开为例外”的要求，切实抓好政府信息公开工作。一是深化“放管服”工作要求，进一步加大权力清单公开力度，及时更新清单内容。二是完善网站栏目保障机制，提高信息报送数量及质量，着重提升对互动信息类办件处理工作水平。三是继续加强对局机关及局属单位人员业务培训，进一步夯实政府信息公开工作基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E774E"/>
    <w:rsid w:val="41FE774E"/>
    <w:rsid w:val="4B7E7A01"/>
    <w:rsid w:val="649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2023-02-01T09:05:00Z</dcterms:created>
  <dc:creator>zbxu@163.com</dc:creator>
  <cp:lastModifiedBy>许文彬</cp:lastModifiedBy>
  <dcterms:modified xsi:type="dcterms:W3CDTF">2024-04-02T06:53:12Z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863DE8C882E14C8BA635B96BF6631D1A</vt:lpwstr>
  </property>
</Properties>
</file>